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F" w:rsidRDefault="008C25EF" w:rsidP="008C25E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992818">
        <w:rPr>
          <w:rFonts w:ascii="標楷體" w:eastAsia="標楷體" w:hAnsi="標楷體" w:hint="eastAsia"/>
        </w:rPr>
        <w:t>:2017</w:t>
      </w:r>
      <w:r>
        <w:rPr>
          <w:rFonts w:ascii="標楷體" w:eastAsia="標楷體" w:hAnsi="標楷體" w:hint="eastAsia"/>
        </w:rPr>
        <w:t>年</w:t>
      </w:r>
      <w:r w:rsidR="0029727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297276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地點:S1-713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講員:</w:t>
      </w:r>
      <w:r w:rsidR="00992818">
        <w:rPr>
          <w:rFonts w:ascii="標楷體" w:eastAsia="標楷體" w:hAnsi="標楷體" w:hint="eastAsia"/>
        </w:rPr>
        <w:t>施筱柔</w:t>
      </w:r>
    </w:p>
    <w:p w:rsidR="008C25EF" w:rsidRDefault="00992818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指導教授：</w:t>
      </w:r>
      <w:proofErr w:type="gramStart"/>
      <w:r>
        <w:rPr>
          <w:rFonts w:ascii="標楷體" w:eastAsia="標楷體" w:hAnsi="標楷體" w:hint="eastAsia"/>
        </w:rPr>
        <w:t>林沛練</w:t>
      </w:r>
      <w:proofErr w:type="gramEnd"/>
      <w:r w:rsidR="008C25EF">
        <w:rPr>
          <w:rFonts w:ascii="標楷體" w:eastAsia="標楷體" w:hAnsi="標楷體" w:hint="eastAsia"/>
        </w:rPr>
        <w:t xml:space="preserve"> 老師</w:t>
      </w:r>
    </w:p>
    <w:p w:rsidR="00E55DB9" w:rsidRDefault="00E55DB9" w:rsidP="008C25EF">
      <w:pPr>
        <w:jc w:val="center"/>
        <w:rPr>
          <w:rFonts w:ascii="標楷體" w:eastAsia="標楷體" w:hAnsi="標楷體"/>
        </w:rPr>
      </w:pPr>
    </w:p>
    <w:p w:rsidR="00992818" w:rsidRDefault="000C6CF3" w:rsidP="000C6CF3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>
        <w:rPr>
          <w:rFonts w:ascii="標楷體" w:eastAsia="標楷體" w:hAnsi="標楷體" w:cs="AdvPSTIM10-B"/>
          <w:b/>
          <w:kern w:val="0"/>
          <w:sz w:val="28"/>
          <w:szCs w:val="28"/>
        </w:rPr>
        <w:t xml:space="preserve">A Diagnostic Case Study of </w:t>
      </w:r>
      <w:r w:rsidRPr="000C6CF3">
        <w:rPr>
          <w:rFonts w:ascii="標楷體" w:eastAsia="標楷體" w:hAnsi="標楷體" w:cs="AdvPSTIM10-B"/>
          <w:b/>
          <w:kern w:val="0"/>
          <w:sz w:val="28"/>
          <w:szCs w:val="28"/>
        </w:rPr>
        <w:t xml:space="preserve">Mei-Yu Frontal Retreat </w:t>
      </w:r>
      <w:r>
        <w:rPr>
          <w:rFonts w:ascii="標楷體" w:eastAsia="標楷體" w:hAnsi="標楷體" w:cs="AdvPSTIM10-B"/>
          <w:b/>
          <w:kern w:val="0"/>
          <w:sz w:val="28"/>
          <w:szCs w:val="28"/>
        </w:rPr>
        <w:t xml:space="preserve">and </w:t>
      </w:r>
      <w:r w:rsidRPr="000C6CF3">
        <w:rPr>
          <w:rFonts w:ascii="標楷體" w:eastAsia="標楷體" w:hAnsi="標楷體" w:cs="AdvPSTIM10-B"/>
          <w:b/>
          <w:kern w:val="0"/>
          <w:sz w:val="28"/>
          <w:szCs w:val="28"/>
        </w:rPr>
        <w:t>Associated Low Development near Taiwan</w:t>
      </w:r>
    </w:p>
    <w:p w:rsidR="00604E13" w:rsidRPr="008C25EF" w:rsidRDefault="00604E13" w:rsidP="000C6CF3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>
        <w:rPr>
          <w:rFonts w:ascii="標楷體" w:eastAsia="標楷體" w:hAnsi="標楷體" w:cs="AdvPSTIM10-B" w:hint="eastAsia"/>
          <w:b/>
          <w:kern w:val="0"/>
          <w:sz w:val="28"/>
          <w:szCs w:val="28"/>
        </w:rPr>
        <w:t>梅雨</w:t>
      </w:r>
      <w:r w:rsidR="00307111">
        <w:rPr>
          <w:rFonts w:ascii="標楷體" w:eastAsia="標楷體" w:hAnsi="標楷體" w:cs="AdvPSTIM10-B" w:hint="eastAsia"/>
          <w:b/>
          <w:kern w:val="0"/>
          <w:sz w:val="28"/>
          <w:szCs w:val="28"/>
        </w:rPr>
        <w:t>鋒面撤</w:t>
      </w:r>
      <w:r>
        <w:rPr>
          <w:rFonts w:ascii="標楷體" w:eastAsia="標楷體" w:hAnsi="標楷體" w:cs="AdvPSTIM10-B" w:hint="eastAsia"/>
          <w:b/>
          <w:kern w:val="0"/>
          <w:sz w:val="28"/>
          <w:szCs w:val="28"/>
        </w:rPr>
        <w:t>退以及相關的低壓發展個案分析</w:t>
      </w:r>
    </w:p>
    <w:p w:rsidR="00A83796" w:rsidRDefault="00A83796" w:rsidP="008C25EF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 w:rsidRPr="008C25EF">
        <w:rPr>
          <w:rFonts w:ascii="標楷體" w:eastAsia="標楷體" w:hAnsi="標楷體" w:cs="AdvPSTIM10-B" w:hint="eastAsia"/>
          <w:b/>
          <w:kern w:val="0"/>
          <w:sz w:val="28"/>
          <w:szCs w:val="28"/>
        </w:rPr>
        <w:t>摘要</w:t>
      </w:r>
    </w:p>
    <w:p w:rsidR="00604E13" w:rsidRPr="00604E13" w:rsidRDefault="0050481F" w:rsidP="00604E13">
      <w:pPr>
        <w:jc w:val="both"/>
        <w:rPr>
          <w:rFonts w:ascii="標楷體" w:eastAsia="標楷體" w:hAnsi="標楷體" w:cs="AdvPSTIM10-B"/>
          <w:kern w:val="0"/>
          <w:szCs w:val="24"/>
        </w:rPr>
      </w:pPr>
      <w:r>
        <w:rPr>
          <w:rFonts w:ascii="標楷體" w:eastAsia="標楷體" w:hAnsi="標楷體" w:cs="AdvPSTIM10-B" w:hint="eastAsia"/>
          <w:kern w:val="0"/>
          <w:szCs w:val="24"/>
        </w:rPr>
        <w:t xml:space="preserve">  </w:t>
      </w:r>
      <w:r w:rsidR="00582008">
        <w:rPr>
          <w:rFonts w:ascii="標楷體" w:eastAsia="標楷體" w:hAnsi="標楷體" w:cs="AdvPSTIM10-B"/>
          <w:kern w:val="0"/>
          <w:szCs w:val="24"/>
        </w:rPr>
        <w:t xml:space="preserve">  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本篇研究主要探討2012年6月13日至14</w:t>
      </w:r>
      <w:r w:rsidR="005C7F65">
        <w:rPr>
          <w:rFonts w:ascii="標楷體" w:eastAsia="標楷體" w:hAnsi="標楷體" w:cs="AdvPSTIM10-B" w:hint="eastAsia"/>
          <w:kern w:val="0"/>
          <w:szCs w:val="24"/>
        </w:rPr>
        <w:t>日的梅雨鋒面發展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。在此個案期間鋒面在台灣南方海面呈現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靜止後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，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再次向北移動，並導致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台灣地區</w:t>
      </w:r>
      <w:r w:rsidR="00604E13">
        <w:rPr>
          <w:rFonts w:ascii="標楷體" w:eastAsia="標楷體" w:hAnsi="標楷體" w:cs="AdvPSTIM10-B" w:hint="eastAsia"/>
          <w:kern w:val="0"/>
          <w:szCs w:val="24"/>
        </w:rPr>
        <w:t>第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二次劇烈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降雨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。在此期間有一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低壓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系統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在台灣西南部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發展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，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同時在中國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南海北部和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台灣西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南部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外海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有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結構性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的中尺度對流系統（MCSs）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發展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。在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本篇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研究中，主要使用歐洲氣象預報中心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的資料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進行分析，對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鋒面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撤退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的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物理機制進行</w:t>
      </w:r>
      <w:r w:rsidR="00604E13" w:rsidRPr="00604E13">
        <w:rPr>
          <w:rFonts w:ascii="標楷體" w:eastAsia="標楷體" w:hAnsi="標楷體" w:cs="AdvPSTIM10-B" w:hint="eastAsia"/>
          <w:kern w:val="0"/>
          <w:szCs w:val="24"/>
        </w:rPr>
        <w:t>討論</w:t>
      </w:r>
      <w:r w:rsidR="00604E13" w:rsidRPr="00604E13">
        <w:rPr>
          <w:rFonts w:ascii="標楷體" w:eastAsia="標楷體" w:hAnsi="標楷體" w:cs="AdvPSTIM10-B"/>
          <w:kern w:val="0"/>
          <w:szCs w:val="24"/>
        </w:rPr>
        <w:t>。</w:t>
      </w:r>
    </w:p>
    <w:p w:rsidR="00604E13" w:rsidRPr="00604E13" w:rsidRDefault="00604E13" w:rsidP="00604E13">
      <w:pPr>
        <w:jc w:val="both"/>
        <w:rPr>
          <w:rFonts w:ascii="標楷體" w:eastAsia="標楷體" w:hAnsi="標楷體" w:cs="AdvPSTIM10-B"/>
          <w:kern w:val="0"/>
          <w:szCs w:val="24"/>
        </w:rPr>
      </w:pPr>
      <w:r>
        <w:rPr>
          <w:rFonts w:ascii="標楷體" w:eastAsia="標楷體" w:hAnsi="標楷體" w:cs="AdvPSTIM10-B" w:hint="eastAsia"/>
          <w:kern w:val="0"/>
          <w:szCs w:val="24"/>
        </w:rPr>
        <w:t xml:space="preserve">　　</w:t>
      </w:r>
      <w:r w:rsidR="005C7F65">
        <w:rPr>
          <w:rFonts w:ascii="標楷體" w:eastAsia="標楷體" w:hAnsi="標楷體" w:cs="AdvPSTIM10-B" w:hint="eastAsia"/>
          <w:kern w:val="0"/>
          <w:szCs w:val="24"/>
        </w:rPr>
        <w:t>利用</w:t>
      </w:r>
      <w:proofErr w:type="gramStart"/>
      <w:r w:rsidRPr="00604E13">
        <w:rPr>
          <w:rFonts w:ascii="標楷體" w:eastAsia="標楷體" w:hAnsi="標楷體" w:cs="AdvPSTIM10-B"/>
          <w:kern w:val="0"/>
          <w:szCs w:val="24"/>
        </w:rPr>
        <w:t>渦</w:t>
      </w:r>
      <w:proofErr w:type="gramEnd"/>
      <w:r w:rsidRPr="00604E13">
        <w:rPr>
          <w:rFonts w:ascii="標楷體" w:eastAsia="標楷體" w:hAnsi="標楷體" w:cs="AdvPSTIM10-B"/>
          <w:kern w:val="0"/>
          <w:szCs w:val="24"/>
        </w:rPr>
        <w:t>度方程和</w:t>
      </w:r>
      <w:proofErr w:type="gramStart"/>
      <w:r w:rsidR="005C7F65">
        <w:rPr>
          <w:rFonts w:ascii="標楷體" w:eastAsia="標楷體" w:hAnsi="標楷體" w:cs="AdvPSTIM10-B" w:hint="eastAsia"/>
          <w:kern w:val="0"/>
          <w:szCs w:val="24"/>
        </w:rPr>
        <w:t>鋒生</w:t>
      </w:r>
      <w:proofErr w:type="gramEnd"/>
      <w:r w:rsidR="005C7F65">
        <w:rPr>
          <w:rFonts w:ascii="標楷體" w:eastAsia="標楷體" w:hAnsi="標楷體" w:cs="AdvPSTIM10-B" w:hint="eastAsia"/>
          <w:kern w:val="0"/>
          <w:szCs w:val="24"/>
        </w:rPr>
        <w:t>方程</w:t>
      </w:r>
      <w:r w:rsidRPr="00604E13">
        <w:rPr>
          <w:rFonts w:ascii="標楷體" w:eastAsia="標楷體" w:hAnsi="標楷體" w:cs="AdvPSTIM10-B"/>
          <w:kern w:val="0"/>
          <w:szCs w:val="24"/>
        </w:rPr>
        <w:t>的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分析</w:t>
      </w:r>
      <w:r w:rsidRPr="00604E13">
        <w:rPr>
          <w:rFonts w:ascii="標楷體" w:eastAsia="標楷體" w:hAnsi="標楷體" w:cs="AdvPSTIM10-B"/>
          <w:kern w:val="0"/>
          <w:szCs w:val="24"/>
        </w:rPr>
        <w:t>，</w:t>
      </w:r>
      <w:r w:rsidR="005C7F65">
        <w:rPr>
          <w:rFonts w:ascii="標楷體" w:eastAsia="標楷體" w:hAnsi="標楷體" w:cs="AdvPSTIM10-B" w:hint="eastAsia"/>
          <w:kern w:val="0"/>
          <w:szCs w:val="24"/>
        </w:rPr>
        <w:t>分項探討對於當地變化趨勢(TDC)的貢獻。進一步</w:t>
      </w:r>
      <w:r w:rsidR="005C7F65" w:rsidRPr="00604E13">
        <w:rPr>
          <w:rFonts w:ascii="標楷體" w:eastAsia="標楷體" w:hAnsi="標楷體" w:cs="AdvPSTIM10-B"/>
          <w:kern w:val="0"/>
          <w:szCs w:val="24"/>
        </w:rPr>
        <w:t>使用</w:t>
      </w:r>
      <w:proofErr w:type="gramStart"/>
      <w:r w:rsidR="005C7F65" w:rsidRPr="00604E13">
        <w:rPr>
          <w:rFonts w:ascii="標楷體" w:eastAsia="標楷體" w:hAnsi="標楷體" w:cs="AdvPSTIM10-B" w:hint="eastAsia"/>
          <w:kern w:val="0"/>
          <w:szCs w:val="24"/>
        </w:rPr>
        <w:t>渦</w:t>
      </w:r>
      <w:r w:rsidR="005C7F65">
        <w:rPr>
          <w:rFonts w:ascii="標楷體" w:eastAsia="標楷體" w:hAnsi="標楷體" w:cs="AdvPSTIM10-B" w:hint="eastAsia"/>
          <w:kern w:val="0"/>
          <w:szCs w:val="24"/>
        </w:rPr>
        <w:t>度</w:t>
      </w:r>
      <w:r w:rsidR="005C7F65" w:rsidRPr="00604E13">
        <w:rPr>
          <w:rFonts w:ascii="標楷體" w:eastAsia="標楷體" w:hAnsi="標楷體" w:cs="AdvPSTIM10-B" w:hint="eastAsia"/>
          <w:kern w:val="0"/>
          <w:szCs w:val="24"/>
        </w:rPr>
        <w:t>反演</w:t>
      </w:r>
      <w:proofErr w:type="gramEnd"/>
      <w:r w:rsidR="005C7F65" w:rsidRPr="00604E13">
        <w:rPr>
          <w:rFonts w:ascii="標楷體" w:eastAsia="標楷體" w:hAnsi="標楷體" w:cs="AdvPSTIM10-B" w:hint="eastAsia"/>
          <w:kern w:val="0"/>
          <w:szCs w:val="24"/>
        </w:rPr>
        <w:t>法</w:t>
      </w:r>
      <w:r w:rsidR="005C7F65">
        <w:rPr>
          <w:rFonts w:ascii="標楷體" w:eastAsia="標楷體" w:hAnsi="標楷體" w:cs="AdvPSTIM10-B" w:hint="eastAsia"/>
          <w:kern w:val="0"/>
          <w:szCs w:val="24"/>
        </w:rPr>
        <w:t>(PVIT)分析擾動的來源。結果顯示，</w:t>
      </w:r>
      <w:r w:rsidRPr="00604E13">
        <w:rPr>
          <w:rFonts w:ascii="標楷體" w:eastAsia="標楷體" w:hAnsi="標楷體" w:cs="AdvPSTIM10-B"/>
          <w:kern w:val="0"/>
          <w:szCs w:val="24"/>
        </w:rPr>
        <w:t>南風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分量</w:t>
      </w:r>
      <w:r w:rsidRPr="00604E13">
        <w:rPr>
          <w:rFonts w:ascii="標楷體" w:eastAsia="標楷體" w:hAnsi="標楷體" w:cs="AdvPSTIM10-B"/>
          <w:kern w:val="0"/>
          <w:szCs w:val="24"/>
        </w:rPr>
        <w:t>的出現，以及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鋒面</w:t>
      </w:r>
      <w:r w:rsidRPr="00604E13">
        <w:rPr>
          <w:rFonts w:ascii="標楷體" w:eastAsia="標楷體" w:hAnsi="標楷體" w:cs="AdvPSTIM10-B"/>
          <w:kern w:val="0"/>
          <w:szCs w:val="24"/>
        </w:rPr>
        <w:t>北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方</w:t>
      </w:r>
      <w:r w:rsidRPr="00604E13">
        <w:rPr>
          <w:rFonts w:ascii="標楷體" w:eastAsia="標楷體" w:hAnsi="標楷體" w:cs="AdvPSTIM10-B"/>
          <w:kern w:val="0"/>
          <w:szCs w:val="24"/>
        </w:rPr>
        <w:t>的冷空氣倒退是最初的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鋒面</w:t>
      </w:r>
      <w:r w:rsidRPr="00604E13">
        <w:rPr>
          <w:rFonts w:ascii="標楷體" w:eastAsia="標楷體" w:hAnsi="標楷體" w:cs="AdvPSTIM10-B"/>
          <w:kern w:val="0"/>
          <w:szCs w:val="24"/>
        </w:rPr>
        <w:t>撤退原因。</w:t>
      </w:r>
      <w:r w:rsidR="00307111">
        <w:rPr>
          <w:rFonts w:ascii="標楷體" w:eastAsia="標楷體" w:hAnsi="標楷體" w:cs="AdvPSTIM10-B" w:hint="eastAsia"/>
          <w:kern w:val="0"/>
          <w:szCs w:val="24"/>
        </w:rPr>
        <w:t>同時發現</w:t>
      </w:r>
      <w:r w:rsidR="00307111" w:rsidRPr="00604E13">
        <w:rPr>
          <w:rFonts w:ascii="標楷體" w:eastAsia="標楷體" w:hAnsi="標楷體" w:cs="AdvPSTIM10-B" w:hint="eastAsia"/>
          <w:kern w:val="0"/>
          <w:szCs w:val="24"/>
        </w:rPr>
        <w:t>梅雨</w:t>
      </w:r>
      <w:r w:rsidR="00307111" w:rsidRPr="00604E13">
        <w:rPr>
          <w:rFonts w:ascii="標楷體" w:eastAsia="標楷體" w:hAnsi="標楷體" w:cs="AdvPSTIM10-B"/>
          <w:kern w:val="0"/>
          <w:szCs w:val="24"/>
        </w:rPr>
        <w:t>鋒</w:t>
      </w:r>
      <w:r w:rsidR="00307111" w:rsidRPr="00604E13">
        <w:rPr>
          <w:rFonts w:ascii="標楷體" w:eastAsia="標楷體" w:hAnsi="標楷體" w:cs="AdvPSTIM10-B" w:hint="eastAsia"/>
          <w:kern w:val="0"/>
          <w:szCs w:val="24"/>
        </w:rPr>
        <w:t>面</w:t>
      </w:r>
      <w:r w:rsidR="00307111" w:rsidRPr="00604E13">
        <w:rPr>
          <w:rFonts w:ascii="標楷體" w:eastAsia="標楷體" w:hAnsi="標楷體" w:cs="AdvPSTIM10-B"/>
          <w:kern w:val="0"/>
          <w:szCs w:val="24"/>
        </w:rPr>
        <w:t>在</w:t>
      </w:r>
      <w:r w:rsidR="00307111" w:rsidRPr="00604E13">
        <w:rPr>
          <w:rFonts w:ascii="標楷體" w:eastAsia="標楷體" w:hAnsi="標楷體" w:cs="AdvPSTIM10-B" w:hint="eastAsia"/>
          <w:kern w:val="0"/>
          <w:szCs w:val="24"/>
        </w:rPr>
        <w:t>撤退</w:t>
      </w:r>
      <w:proofErr w:type="gramStart"/>
      <w:r w:rsidR="00307111" w:rsidRPr="00604E13">
        <w:rPr>
          <w:rFonts w:ascii="標楷體" w:eastAsia="標楷體" w:hAnsi="標楷體" w:cs="AdvPSTIM10-B" w:hint="eastAsia"/>
          <w:kern w:val="0"/>
          <w:szCs w:val="24"/>
        </w:rPr>
        <w:t>期間</w:t>
      </w:r>
      <w:r w:rsidR="00307111" w:rsidRPr="00604E13">
        <w:rPr>
          <w:rFonts w:ascii="標楷體" w:eastAsia="標楷體" w:hAnsi="標楷體" w:cs="AdvPSTIM10-B"/>
          <w:kern w:val="0"/>
          <w:szCs w:val="24"/>
        </w:rPr>
        <w:t>，</w:t>
      </w:r>
      <w:proofErr w:type="gramEnd"/>
      <w:r w:rsidR="00307111" w:rsidRPr="00604E13">
        <w:rPr>
          <w:rFonts w:ascii="標楷體" w:eastAsia="標楷體" w:hAnsi="標楷體" w:cs="AdvPSTIM10-B" w:hint="eastAsia"/>
          <w:kern w:val="0"/>
          <w:szCs w:val="24"/>
        </w:rPr>
        <w:t>具有暖鋒的特性</w:t>
      </w:r>
      <w:r w:rsidR="00307111" w:rsidRPr="00604E13">
        <w:rPr>
          <w:rFonts w:ascii="標楷體" w:eastAsia="標楷體" w:hAnsi="標楷體" w:cs="AdvPSTIM10-B"/>
          <w:kern w:val="0"/>
          <w:szCs w:val="24"/>
        </w:rPr>
        <w:t>。</w:t>
      </w:r>
      <w:r w:rsidRPr="00604E13">
        <w:rPr>
          <w:rFonts w:ascii="標楷體" w:eastAsia="標楷體" w:hAnsi="標楷體" w:cs="AdvPSTIM10-B"/>
          <w:kern w:val="0"/>
          <w:szCs w:val="24"/>
        </w:rPr>
        <w:t>而由於有組織的MCSs持續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的</w:t>
      </w:r>
      <w:r w:rsidRPr="00604E13">
        <w:rPr>
          <w:rFonts w:ascii="標楷體" w:eastAsia="標楷體" w:hAnsi="標楷體" w:cs="AdvPSTIM10-B"/>
          <w:kern w:val="0"/>
          <w:szCs w:val="24"/>
        </w:rPr>
        <w:t>潛熱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釋放</w:t>
      </w:r>
      <w:r w:rsidRPr="00604E13">
        <w:rPr>
          <w:rFonts w:ascii="標楷體" w:eastAsia="標楷體" w:hAnsi="標楷體" w:cs="AdvPSTIM10-B"/>
          <w:kern w:val="0"/>
          <w:szCs w:val="24"/>
        </w:rPr>
        <w:t>，加劇了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低壓的發展</w:t>
      </w:r>
      <w:r w:rsidRPr="00604E13">
        <w:rPr>
          <w:rFonts w:ascii="標楷體" w:eastAsia="標楷體" w:hAnsi="標楷體" w:cs="AdvPSTIM10-B"/>
          <w:kern w:val="0"/>
          <w:szCs w:val="24"/>
        </w:rPr>
        <w:t>。因此，</w:t>
      </w:r>
      <w:r w:rsidR="00307111">
        <w:rPr>
          <w:rFonts w:ascii="標楷體" w:eastAsia="標楷體" w:hAnsi="標楷體" w:cs="AdvPSTIM10-B" w:hint="eastAsia"/>
          <w:kern w:val="0"/>
          <w:szCs w:val="24"/>
        </w:rPr>
        <w:t>使得</w:t>
      </w:r>
      <w:r w:rsidRPr="00604E13">
        <w:rPr>
          <w:rFonts w:ascii="標楷體" w:eastAsia="標楷體" w:hAnsi="標楷體" w:cs="AdvPSTIM10-B"/>
          <w:kern w:val="0"/>
          <w:szCs w:val="24"/>
        </w:rPr>
        <w:t>在台灣</w:t>
      </w:r>
      <w:r>
        <w:rPr>
          <w:rFonts w:ascii="標楷體" w:eastAsia="標楷體" w:hAnsi="標楷體" w:cs="AdvPSTIM10-B" w:hint="eastAsia"/>
          <w:kern w:val="0"/>
          <w:szCs w:val="24"/>
        </w:rPr>
        <w:t>東方</w:t>
      </w:r>
      <w:proofErr w:type="gramStart"/>
      <w:r w:rsidRPr="00604E13">
        <w:rPr>
          <w:rFonts w:ascii="標楷體" w:eastAsia="標楷體" w:hAnsi="標楷體" w:cs="AdvPSTIM10-B" w:hint="eastAsia"/>
          <w:kern w:val="0"/>
          <w:szCs w:val="24"/>
        </w:rPr>
        <w:t>鋒面</w:t>
      </w:r>
      <w:r w:rsidRPr="00604E13">
        <w:rPr>
          <w:rFonts w:ascii="標楷體" w:eastAsia="標楷體" w:hAnsi="標楷體" w:cs="AdvPSTIM10-B"/>
          <w:kern w:val="0"/>
          <w:szCs w:val="24"/>
        </w:rPr>
        <w:t>冷</w:t>
      </w:r>
      <w:r w:rsidRPr="00604E13">
        <w:rPr>
          <w:rFonts w:ascii="標楷體" w:eastAsia="標楷體" w:hAnsi="標楷體" w:cs="AdvPSTIM10-B" w:hint="eastAsia"/>
          <w:kern w:val="0"/>
          <w:szCs w:val="24"/>
        </w:rPr>
        <w:t>側</w:t>
      </w:r>
      <w:proofErr w:type="gramEnd"/>
      <w:r w:rsidRPr="00604E13">
        <w:rPr>
          <w:rFonts w:ascii="標楷體" w:eastAsia="標楷體" w:hAnsi="標楷體" w:cs="AdvPSTIM10-B" w:hint="eastAsia"/>
          <w:kern w:val="0"/>
          <w:szCs w:val="24"/>
        </w:rPr>
        <w:t>(北方)</w:t>
      </w:r>
      <w:r>
        <w:rPr>
          <w:rFonts w:ascii="標楷體" w:eastAsia="標楷體" w:hAnsi="標楷體" w:cs="AdvPSTIM10-B"/>
          <w:kern w:val="0"/>
          <w:szCs w:val="24"/>
        </w:rPr>
        <w:t>的北風由南風所取代</w:t>
      </w:r>
      <w:r>
        <w:rPr>
          <w:rFonts w:ascii="標楷體" w:eastAsia="標楷體" w:hAnsi="標楷體" w:cs="AdvPSTIM10-B" w:hint="eastAsia"/>
          <w:kern w:val="0"/>
          <w:szCs w:val="24"/>
        </w:rPr>
        <w:t>。</w:t>
      </w:r>
    </w:p>
    <w:p w:rsidR="00574142" w:rsidRPr="0093104C" w:rsidRDefault="00574142" w:rsidP="0093104C">
      <w:pPr>
        <w:jc w:val="both"/>
        <w:rPr>
          <w:rFonts w:ascii="標楷體" w:eastAsia="標楷體" w:hAnsi="標楷體" w:cs="AdvPSTIM10-B"/>
          <w:kern w:val="0"/>
          <w:szCs w:val="24"/>
        </w:rPr>
      </w:pPr>
    </w:p>
    <w:p w:rsidR="00574142" w:rsidRPr="00574142" w:rsidRDefault="00574142" w:rsidP="00574142">
      <w:pPr>
        <w:rPr>
          <w:rFonts w:ascii="標楷體" w:eastAsia="標楷體" w:hAnsi="標楷體" w:cs="AdvPSTIM10-B"/>
          <w:kern w:val="0"/>
          <w:szCs w:val="24"/>
        </w:rPr>
      </w:pPr>
    </w:p>
    <w:p w:rsidR="008C25EF" w:rsidRDefault="008C25EF" w:rsidP="008C25E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關鍵字：</w:t>
      </w:r>
    </w:p>
    <w:p w:rsidR="00992818" w:rsidRDefault="00604E13" w:rsidP="008C25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Mei-Yu(梅雨)</w:t>
      </w:r>
    </w:p>
    <w:p w:rsidR="00F2298A" w:rsidRDefault="00604E13" w:rsidP="00F2298A">
      <w:pPr>
        <w:rPr>
          <w:rFonts w:ascii="標楷體" w:eastAsia="標楷體" w:hAnsi="標楷體"/>
          <w:szCs w:val="24"/>
        </w:rPr>
      </w:pPr>
      <w:r w:rsidRPr="00604E13">
        <w:rPr>
          <w:rFonts w:ascii="標楷體" w:eastAsia="標楷體" w:hAnsi="標楷體"/>
          <w:szCs w:val="24"/>
        </w:rPr>
        <w:t>PVIT (Potential Vorticity Inversion Technique)</w:t>
      </w:r>
      <w:r w:rsidR="00F2298A">
        <w:rPr>
          <w:rFonts w:ascii="標楷體" w:eastAsia="標楷體" w:hAnsi="標楷體" w:hint="eastAsia"/>
          <w:szCs w:val="24"/>
        </w:rPr>
        <w:t xml:space="preserve"> </w:t>
      </w:r>
      <w:r w:rsidR="00307111">
        <w:rPr>
          <w:rFonts w:ascii="標楷體" w:eastAsia="標楷體" w:hAnsi="標楷體" w:hint="eastAsia"/>
          <w:szCs w:val="24"/>
        </w:rPr>
        <w:t>位</w:t>
      </w:r>
      <w:proofErr w:type="gramStart"/>
      <w:r w:rsidR="00307111">
        <w:rPr>
          <w:rFonts w:ascii="標楷體" w:eastAsia="標楷體" w:hAnsi="標楷體" w:hint="eastAsia"/>
          <w:szCs w:val="24"/>
        </w:rPr>
        <w:t>渦反演</w:t>
      </w:r>
      <w:proofErr w:type="gramEnd"/>
      <w:r>
        <w:rPr>
          <w:rFonts w:ascii="標楷體" w:eastAsia="標楷體" w:hAnsi="標楷體" w:hint="eastAsia"/>
          <w:szCs w:val="24"/>
        </w:rPr>
        <w:t>法</w:t>
      </w:r>
    </w:p>
    <w:p w:rsidR="00604E13" w:rsidRDefault="00604E13" w:rsidP="00F2298A">
      <w:pPr>
        <w:rPr>
          <w:rFonts w:ascii="標楷體" w:eastAsia="標楷體" w:hAnsi="標楷體"/>
          <w:szCs w:val="24"/>
        </w:rPr>
      </w:pPr>
    </w:p>
    <w:p w:rsidR="00604E13" w:rsidRPr="00F2298A" w:rsidRDefault="00604E13" w:rsidP="00F2298A">
      <w:pPr>
        <w:rPr>
          <w:rFonts w:ascii="標楷體" w:eastAsia="標楷體" w:hAnsi="標楷體"/>
          <w:szCs w:val="24"/>
        </w:rPr>
      </w:pPr>
    </w:p>
    <w:p w:rsidR="008C25EF" w:rsidRDefault="008C25EF" w:rsidP="008C25E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參考文獻：</w:t>
      </w:r>
    </w:p>
    <w:p w:rsidR="000C4260" w:rsidRPr="000C4260" w:rsidRDefault="009D022B" w:rsidP="008C25EF">
      <w:pPr>
        <w:rPr>
          <w:rFonts w:ascii="Times New Roman" w:eastAsia="標楷體" w:hAnsi="Times New Roman" w:cs="Times New Roman"/>
          <w:b/>
          <w:sz w:val="26"/>
          <w:szCs w:val="26"/>
        </w:rPr>
      </w:pPr>
      <w:hyperlink r:id="rId7" w:history="1">
        <w:r w:rsidR="000C4260">
          <w:rPr>
            <w:rStyle w:val="hlfld-contribauthor"/>
            <w:rFonts w:ascii="Times New Roman" w:hAnsi="Times New Roman" w:cs="Times New Roman"/>
            <w:sz w:val="21"/>
            <w:szCs w:val="21"/>
            <w:shd w:val="clear" w:color="auto" w:fill="FFFFFF"/>
          </w:rPr>
          <w:t xml:space="preserve">Chung-Chieh </w:t>
        </w:r>
        <w:proofErr w:type="gramStart"/>
        <w:r w:rsidR="000C4260" w:rsidRPr="000C4260">
          <w:rPr>
            <w:rStyle w:val="hlfld-contribauthor"/>
            <w:rFonts w:ascii="Times New Roman" w:hAnsi="Times New Roman" w:cs="Times New Roman"/>
            <w:sz w:val="21"/>
            <w:szCs w:val="21"/>
            <w:shd w:val="clear" w:color="auto" w:fill="FFFFFF"/>
          </w:rPr>
          <w:t>Wang</w:t>
        </w:r>
      </w:hyperlink>
      <w:r w:rsidR="000C4260" w:rsidRPr="000C4260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0C426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8" w:history="1">
        <w:r w:rsidR="000C4260" w:rsidRPr="000C4260">
          <w:rPr>
            <w:rStyle w:val="hlfld-contribauthor"/>
            <w:rFonts w:ascii="Times New Roman" w:hAnsi="Times New Roman" w:cs="Times New Roman"/>
            <w:sz w:val="21"/>
            <w:szCs w:val="21"/>
            <w:shd w:val="clear" w:color="auto" w:fill="FFFFFF"/>
          </w:rPr>
          <w:t>George Tai-Jen Chen</w:t>
        </w:r>
      </w:hyperlink>
      <w:r w:rsidR="000C4260" w:rsidRPr="000C4260">
        <w:rPr>
          <w:rFonts w:ascii="Times New Roman" w:hAnsi="Times New Roman" w:cs="Times New Roman"/>
          <w:sz w:val="21"/>
          <w:szCs w:val="21"/>
          <w:shd w:val="clear" w:color="auto" w:fill="FFFFFF"/>
        </w:rPr>
        <w:t>, and</w:t>
      </w:r>
      <w:r w:rsidR="000C426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9" w:history="1">
        <w:r w:rsidR="000C4260" w:rsidRPr="000C4260">
          <w:rPr>
            <w:rStyle w:val="hlfld-contribauthor"/>
            <w:rFonts w:ascii="Times New Roman" w:hAnsi="Times New Roman" w:cs="Times New Roman"/>
            <w:sz w:val="21"/>
            <w:szCs w:val="21"/>
            <w:shd w:val="clear" w:color="auto" w:fill="FFFFFF"/>
          </w:rPr>
          <w:t>Kuok-Hou Ho</w:t>
        </w:r>
      </w:hyperlink>
      <w:proofErr w:type="gramEnd"/>
      <w:r w:rsidR="000C4260" w:rsidRPr="000C426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proofErr w:type="gramStart"/>
      <w:r w:rsidR="000C4260" w:rsidRPr="000C4260">
        <w:rPr>
          <w:rFonts w:ascii="Times New Roman" w:hAnsi="Times New Roman" w:cs="Times New Roman"/>
          <w:sz w:val="21"/>
          <w:szCs w:val="21"/>
          <w:shd w:val="clear" w:color="auto" w:fill="FFFFFF"/>
        </w:rPr>
        <w:t>(201</w:t>
      </w:r>
      <w:r w:rsidR="000C4260" w:rsidRPr="000C42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6) A Diagnostic Case Study of Mei-Yu Frontal Retreat and Associated Low Development near Taiwan.</w:t>
      </w:r>
      <w:proofErr w:type="gramEnd"/>
      <w:r w:rsidR="000C4260">
        <w:rPr>
          <w:rFonts w:ascii="Times New Roman" w:hAnsi="Times New Roman" w:cs="Times New Roman" w:hint="eastAsi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0C4260" w:rsidRPr="000C4260">
        <w:rPr>
          <w:rStyle w:val="nlmsource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Monthly Weather Review</w:t>
      </w:r>
      <w:r w:rsidR="000C4260">
        <w:rPr>
          <w:rFonts w:ascii="Times New Roman" w:hAnsi="Times New Roman" w:cs="Times New Roman" w:hint="eastAsia"/>
          <w:color w:val="000000"/>
          <w:sz w:val="21"/>
          <w:szCs w:val="21"/>
          <w:shd w:val="clear" w:color="auto" w:fill="FFFFFF"/>
        </w:rPr>
        <w:t xml:space="preserve"> </w:t>
      </w:r>
      <w:r w:rsidR="000C4260" w:rsidRPr="000C426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144</w:t>
      </w:r>
      <w:r w:rsidR="000C4260" w:rsidRPr="000C42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:6, 2327-2349.</w:t>
      </w:r>
      <w:proofErr w:type="gramEnd"/>
      <w:r w:rsidR="000C4260" w:rsidRPr="000C42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</w:p>
    <w:sectPr w:rsidR="000C4260" w:rsidRPr="000C4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2B" w:rsidRDefault="009D022B" w:rsidP="0018792F">
      <w:r>
        <w:separator/>
      </w:r>
    </w:p>
  </w:endnote>
  <w:endnote w:type="continuationSeparator" w:id="0">
    <w:p w:rsidR="009D022B" w:rsidRDefault="009D022B" w:rsidP="001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2B" w:rsidRDefault="009D022B" w:rsidP="0018792F">
      <w:r>
        <w:separator/>
      </w:r>
    </w:p>
  </w:footnote>
  <w:footnote w:type="continuationSeparator" w:id="0">
    <w:p w:rsidR="009D022B" w:rsidRDefault="009D022B" w:rsidP="0018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96"/>
    <w:rsid w:val="00006AD9"/>
    <w:rsid w:val="00026635"/>
    <w:rsid w:val="000A2A48"/>
    <w:rsid w:val="000A5F5C"/>
    <w:rsid w:val="000C4260"/>
    <w:rsid w:val="000C6CF3"/>
    <w:rsid w:val="000E526E"/>
    <w:rsid w:val="001077F0"/>
    <w:rsid w:val="0016128D"/>
    <w:rsid w:val="00173183"/>
    <w:rsid w:val="0018792F"/>
    <w:rsid w:val="00297276"/>
    <w:rsid w:val="002D6349"/>
    <w:rsid w:val="002E4F63"/>
    <w:rsid w:val="002E548B"/>
    <w:rsid w:val="00307111"/>
    <w:rsid w:val="00321C9B"/>
    <w:rsid w:val="003636F4"/>
    <w:rsid w:val="003F4591"/>
    <w:rsid w:val="004354AC"/>
    <w:rsid w:val="0043576D"/>
    <w:rsid w:val="00493DAC"/>
    <w:rsid w:val="004B3ED8"/>
    <w:rsid w:val="004D1EFB"/>
    <w:rsid w:val="0050481F"/>
    <w:rsid w:val="00533F89"/>
    <w:rsid w:val="00555F9D"/>
    <w:rsid w:val="00574142"/>
    <w:rsid w:val="00576E36"/>
    <w:rsid w:val="00582008"/>
    <w:rsid w:val="005C7F65"/>
    <w:rsid w:val="00604E13"/>
    <w:rsid w:val="00707190"/>
    <w:rsid w:val="00754B52"/>
    <w:rsid w:val="007A7BB8"/>
    <w:rsid w:val="007C232B"/>
    <w:rsid w:val="00876CB7"/>
    <w:rsid w:val="008C25EF"/>
    <w:rsid w:val="0093104C"/>
    <w:rsid w:val="00987715"/>
    <w:rsid w:val="00990EBF"/>
    <w:rsid w:val="00992818"/>
    <w:rsid w:val="009D022B"/>
    <w:rsid w:val="00A82DFA"/>
    <w:rsid w:val="00A83796"/>
    <w:rsid w:val="00B25E34"/>
    <w:rsid w:val="00B85956"/>
    <w:rsid w:val="00BB1A69"/>
    <w:rsid w:val="00C61291"/>
    <w:rsid w:val="00CC1468"/>
    <w:rsid w:val="00D16D64"/>
    <w:rsid w:val="00D6526B"/>
    <w:rsid w:val="00E55DB9"/>
    <w:rsid w:val="00E62F5E"/>
    <w:rsid w:val="00EC3FE7"/>
    <w:rsid w:val="00F2298A"/>
    <w:rsid w:val="00FD3F59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2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92F"/>
    <w:rPr>
      <w:sz w:val="20"/>
      <w:szCs w:val="20"/>
    </w:rPr>
  </w:style>
  <w:style w:type="character" w:customStyle="1" w:styleId="hlfld-contribauthor">
    <w:name w:val="hlfld-contribauthor"/>
    <w:basedOn w:val="a0"/>
    <w:rsid w:val="000C4260"/>
  </w:style>
  <w:style w:type="character" w:customStyle="1" w:styleId="nlmsource">
    <w:name w:val="nlm_source"/>
    <w:basedOn w:val="a0"/>
    <w:rsid w:val="000C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2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92F"/>
    <w:rPr>
      <w:sz w:val="20"/>
      <w:szCs w:val="20"/>
    </w:rPr>
  </w:style>
  <w:style w:type="character" w:customStyle="1" w:styleId="hlfld-contribauthor">
    <w:name w:val="hlfld-contribauthor"/>
    <w:basedOn w:val="a0"/>
    <w:rsid w:val="000C4260"/>
  </w:style>
  <w:style w:type="character" w:customStyle="1" w:styleId="nlmsource">
    <w:name w:val="nlm_source"/>
    <w:basedOn w:val="a0"/>
    <w:rsid w:val="000C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ametsoc.org/author/Tai-Jen+Chen%2C+Geo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ametsoc.org/author/Wang%2C+Chung-Chi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ametsoc.org/author/Ho%2C+Kuok-Ho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chiaying</dc:creator>
  <cp:lastModifiedBy>harry</cp:lastModifiedBy>
  <cp:revision>2</cp:revision>
  <dcterms:created xsi:type="dcterms:W3CDTF">2017-10-20T06:59:00Z</dcterms:created>
  <dcterms:modified xsi:type="dcterms:W3CDTF">2017-10-20T06:59:00Z</dcterms:modified>
</cp:coreProperties>
</file>